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E06" w:rsidRDefault="009419F6">
      <w:pPr>
        <w:rPr>
          <w:rFonts w:ascii="Times New Roman" w:hAnsi="Times New Roman" w:cs="Times New Roman"/>
          <w:sz w:val="24"/>
          <w:szCs w:val="24"/>
        </w:rPr>
      </w:pPr>
      <w:r>
        <w:rPr>
          <w:rFonts w:ascii="Times New Roman" w:hAnsi="Times New Roman" w:cs="Times New Roman"/>
          <w:sz w:val="24"/>
          <w:szCs w:val="24"/>
        </w:rPr>
        <w:t>6-2 Journal: Factors in Gender and Sexuality</w:t>
      </w:r>
    </w:p>
    <w:p w:rsidR="009419F6" w:rsidRDefault="009419F6">
      <w:pPr>
        <w:rPr>
          <w:rFonts w:ascii="Times New Roman" w:hAnsi="Times New Roman" w:cs="Times New Roman"/>
          <w:sz w:val="24"/>
          <w:szCs w:val="24"/>
        </w:rPr>
      </w:pPr>
      <w:r>
        <w:rPr>
          <w:rFonts w:ascii="Times New Roman" w:hAnsi="Times New Roman" w:cs="Times New Roman"/>
          <w:sz w:val="24"/>
          <w:szCs w:val="24"/>
        </w:rPr>
        <w:t>Name</w:t>
      </w:r>
    </w:p>
    <w:p w:rsidR="009419F6" w:rsidRDefault="009419F6">
      <w:pPr>
        <w:rPr>
          <w:rFonts w:ascii="Times New Roman" w:hAnsi="Times New Roman" w:cs="Times New Roman"/>
          <w:sz w:val="24"/>
          <w:szCs w:val="24"/>
        </w:rPr>
      </w:pPr>
      <w:r>
        <w:rPr>
          <w:rFonts w:ascii="Times New Roman" w:hAnsi="Times New Roman" w:cs="Times New Roman"/>
          <w:sz w:val="24"/>
          <w:szCs w:val="24"/>
        </w:rPr>
        <w:t>School</w:t>
      </w:r>
    </w:p>
    <w:p w:rsidR="009419F6" w:rsidRDefault="009419F6">
      <w:pPr>
        <w:rPr>
          <w:rFonts w:ascii="Times New Roman" w:hAnsi="Times New Roman" w:cs="Times New Roman"/>
          <w:sz w:val="24"/>
          <w:szCs w:val="24"/>
        </w:rPr>
      </w:pPr>
      <w:r>
        <w:rPr>
          <w:rFonts w:ascii="Times New Roman" w:hAnsi="Times New Roman" w:cs="Times New Roman"/>
          <w:sz w:val="24"/>
          <w:szCs w:val="24"/>
        </w:rPr>
        <w:t>Date</w:t>
      </w:r>
    </w:p>
    <w:p w:rsidR="009419F6" w:rsidRDefault="009419F6">
      <w:pPr>
        <w:rPr>
          <w:rFonts w:ascii="Times New Roman" w:hAnsi="Times New Roman" w:cs="Times New Roman"/>
          <w:sz w:val="24"/>
          <w:szCs w:val="24"/>
        </w:rPr>
      </w:pPr>
    </w:p>
    <w:p w:rsidR="0056526C" w:rsidRDefault="009419F6" w:rsidP="0056526C">
      <w:pPr>
        <w:spacing w:line="480" w:lineRule="auto"/>
        <w:rPr>
          <w:rFonts w:ascii="Times New Roman" w:hAnsi="Times New Roman" w:cs="Times New Roman"/>
          <w:sz w:val="24"/>
          <w:szCs w:val="24"/>
        </w:rPr>
      </w:pPr>
      <w:r>
        <w:rPr>
          <w:rFonts w:ascii="Times New Roman" w:hAnsi="Times New Roman" w:cs="Times New Roman"/>
          <w:sz w:val="24"/>
          <w:szCs w:val="24"/>
        </w:rPr>
        <w:t>A factor that can influence a person’s gender identity is social and environmental factors. A child’s upbringing and their social environment can impact their developing gender identity. According to (</w:t>
      </w:r>
      <w:proofErr w:type="spellStart"/>
      <w:r>
        <w:rPr>
          <w:rFonts w:ascii="Times New Roman" w:hAnsi="Times New Roman" w:cs="Times New Roman"/>
          <w:sz w:val="24"/>
          <w:szCs w:val="24"/>
        </w:rPr>
        <w:t>Oswalt</w:t>
      </w:r>
      <w:proofErr w:type="spellEnd"/>
      <w:r>
        <w:rPr>
          <w:rFonts w:ascii="Times New Roman" w:hAnsi="Times New Roman" w:cs="Times New Roman"/>
          <w:sz w:val="24"/>
          <w:szCs w:val="24"/>
        </w:rPr>
        <w:t>, 2010) a child preference, behavior, interests are influenced by a parental and authority figure teaching of their sexual stereotypes occurring in early childhood through middle childhood. “Children are taught that certain traits or activities are appropriate or inappropriate for them to engage because they are a girl or a boy tend to internalize and be influenced by these teachings in later life”(</w:t>
      </w:r>
      <w:proofErr w:type="spellStart"/>
      <w:r>
        <w:rPr>
          <w:rFonts w:ascii="Times New Roman" w:hAnsi="Times New Roman" w:cs="Times New Roman"/>
          <w:sz w:val="24"/>
          <w:szCs w:val="24"/>
        </w:rPr>
        <w:t>Oswalt</w:t>
      </w:r>
      <w:proofErr w:type="spellEnd"/>
      <w:r>
        <w:rPr>
          <w:rFonts w:ascii="Times New Roman" w:hAnsi="Times New Roman" w:cs="Times New Roman"/>
          <w:sz w:val="24"/>
          <w:szCs w:val="24"/>
        </w:rPr>
        <w:t>, 2015). An example, girls who are told that boys are better at math than they are may report that they dislike math and disclaim their interest in that subject. The girls may go on to believe that they are not good at this subject and perform poorly on math tests and homework assignment (Oswalt, 2015).</w:t>
      </w:r>
      <w:r w:rsidR="0056526C">
        <w:rPr>
          <w:rFonts w:ascii="Times New Roman" w:hAnsi="Times New Roman" w:cs="Times New Roman"/>
          <w:sz w:val="24"/>
          <w:szCs w:val="24"/>
        </w:rPr>
        <w:t xml:space="preserve"> Children learn through observation and imitation of what they see their parents are doing. The children tend to imitate what they see growing up and repeat those patterns in their own lives as an adult. Children that are raised watching their parents of strict gender-stereotyped roles are in general likely to take on those roles as adults than peers whose parents provide less stereotypes and more androgynous models for behaving</w:t>
      </w:r>
    </w:p>
    <w:p w:rsidR="0056526C" w:rsidRDefault="0056526C">
      <w:pPr>
        <w:rPr>
          <w:rFonts w:ascii="Times New Roman" w:hAnsi="Times New Roman" w:cs="Times New Roman"/>
          <w:sz w:val="24"/>
          <w:szCs w:val="24"/>
        </w:rPr>
      </w:pPr>
      <w:r>
        <w:rPr>
          <w:rFonts w:ascii="Times New Roman" w:hAnsi="Times New Roman" w:cs="Times New Roman"/>
          <w:sz w:val="24"/>
          <w:szCs w:val="24"/>
        </w:rPr>
        <w:t>Reference:</w:t>
      </w:r>
    </w:p>
    <w:p w:rsidR="009419F6" w:rsidRPr="009419F6" w:rsidRDefault="0056526C">
      <w:pPr>
        <w:rPr>
          <w:rFonts w:ascii="Times New Roman" w:hAnsi="Times New Roman" w:cs="Times New Roman"/>
          <w:sz w:val="24"/>
          <w:szCs w:val="24"/>
        </w:rPr>
      </w:pPr>
      <w:hyperlink r:id="rId4" w:history="1">
        <w:r w:rsidRPr="00790CC4">
          <w:rPr>
            <w:rStyle w:val="Hyperlink"/>
            <w:rFonts w:ascii="Times New Roman" w:hAnsi="Times New Roman" w:cs="Times New Roman"/>
            <w:sz w:val="24"/>
            <w:szCs w:val="24"/>
          </w:rPr>
          <w:t>www.mentalhelp.net/</w:t>
        </w:r>
      </w:hyperlink>
      <w:r>
        <w:rPr>
          <w:rFonts w:ascii="Times New Roman" w:hAnsi="Times New Roman" w:cs="Times New Roman"/>
          <w:sz w:val="24"/>
          <w:szCs w:val="24"/>
        </w:rPr>
        <w:t xml:space="preserve">  Angela Oswalt (2015) Factors Influencing Gender Identity </w:t>
      </w:r>
    </w:p>
    <w:sectPr w:rsidR="009419F6" w:rsidRPr="009419F6" w:rsidSect="00085E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419F6"/>
    <w:rsid w:val="00085E06"/>
    <w:rsid w:val="0056526C"/>
    <w:rsid w:val="009419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E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5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entalhelp.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2018-06-15T17:38:00Z</dcterms:created>
  <dcterms:modified xsi:type="dcterms:W3CDTF">2018-06-15T17:55:00Z</dcterms:modified>
</cp:coreProperties>
</file>